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120" w:before="0" w:after="0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spacing w:lineRule="atLeast" w:line="120" w:before="0" w:after="0"/>
        <w:jc w:val="right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spacing w:lineRule="atLeast" w:line="120" w:before="0" w:after="0"/>
        <w:jc w:val="right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Załącznik nr 7 do zapytania ofertowego</w:t>
      </w:r>
    </w:p>
    <w:p>
      <w:pPr>
        <w:pStyle w:val="Normal"/>
        <w:widowControl w:val="false"/>
        <w:spacing w:lineRule="atLeast" w:line="120" w:before="0" w:after="0"/>
        <w:jc w:val="right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Oświadczenie o niepodleganiu wykluczeniu z postępowania</w:t>
      </w:r>
    </w:p>
    <w:p>
      <w:pPr>
        <w:pStyle w:val="Normal"/>
        <w:widowControl w:val="false"/>
        <w:spacing w:lineRule="atLeast" w:line="120" w:before="0" w:after="0"/>
        <w:ind w:left="5664" w:hanging="0"/>
        <w:jc w:val="right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MSDsygn"/>
        <w:jc w:val="left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Nr sprawy: </w:t>
      </w:r>
    </w:p>
    <w:p>
      <w:pPr>
        <w:pStyle w:val="Normal"/>
        <w:widowControl w:val="false"/>
        <w:spacing w:lineRule="auto" w:line="276" w:before="0" w:after="0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 w:eastAsiaTheme="minorHAnsi"/>
          <w:b/>
          <w:shd w:fill="auto" w:val="clear"/>
        </w:rPr>
        <w:t>2025/0</w:t>
      </w:r>
      <w:r>
        <w:rPr>
          <w:rFonts w:eastAsia="Calibri" w:cs="Arial" w:ascii="Arial" w:hAnsi="Arial" w:eastAsiaTheme="minorHAnsi"/>
          <w:b/>
          <w:shd w:fill="auto" w:val="clear"/>
        </w:rPr>
        <w:t>2</w:t>
      </w:r>
      <w:r>
        <w:rPr>
          <w:rFonts w:eastAsia="Calibri" w:cs="Arial" w:ascii="Arial" w:hAnsi="Arial"/>
          <w:b/>
        </w:rPr>
        <w:t xml:space="preserve">                                                                                       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Wykonawcy: …...................................................................................................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Adres Wykonawcy: 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nl-NL"/>
        </w:rPr>
      </w:pPr>
      <w:r>
        <w:rPr>
          <w:rFonts w:cs="Arial" w:ascii="Arial" w:hAnsi="Arial"/>
          <w:sz w:val="24"/>
          <w:szCs w:val="24"/>
          <w:lang w:val="nl-NL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4"/>
          <w:szCs w:val="24"/>
          <w:lang w:val="nl-NL"/>
        </w:rPr>
        <w:t>..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nl-NL"/>
        </w:rPr>
      </w:pPr>
      <w:r>
        <w:rPr>
          <w:rFonts w:cs="Arial" w:ascii="Arial" w:hAnsi="Arial"/>
          <w:sz w:val="24"/>
          <w:szCs w:val="24"/>
          <w:lang w:val="nl-NL"/>
        </w:rPr>
        <w:t>NIP: 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nl-NL"/>
        </w:rPr>
      </w:pPr>
      <w:r>
        <w:rPr>
          <w:rFonts w:cs="Arial" w:ascii="Arial" w:hAnsi="Arial"/>
          <w:sz w:val="24"/>
          <w:szCs w:val="24"/>
          <w:lang w:val="nl-NL"/>
        </w:rPr>
        <w:t>REGON: 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Tel/Fax: ………………………………………………………………………………………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Adres e-mail: ………………………………………..........................................................</w:t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eastAsia="Calibri" w:cs="Arial"/>
          <w:b/>
          <w:b/>
          <w:color w:val="000000"/>
          <w:lang w:val="en-US"/>
        </w:rPr>
      </w:pPr>
      <w:r>
        <w:rPr>
          <w:rFonts w:eastAsia="Calibri" w:cs="Arial" w:ascii="Arial" w:hAnsi="Arial"/>
          <w:b/>
          <w:color w:val="000000"/>
          <w:lang w:val="en-US"/>
        </w:rPr>
      </w:r>
    </w:p>
    <w:p>
      <w:pPr>
        <w:pStyle w:val="Normal"/>
        <w:rPr>
          <w:rFonts w:ascii="Arial" w:hAnsi="Arial" w:cs="Arial"/>
          <w:b/>
          <w:b/>
          <w:lang w:val="nl-NL"/>
        </w:rPr>
      </w:pPr>
      <w:r>
        <w:rPr>
          <w:rFonts w:cs="Arial" w:ascii="Arial" w:hAnsi="Arial"/>
          <w:b/>
          <w:lang w:val="nl-N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OŚWIADCZENIE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niepodleganiu wykluczeniu z postępowania pn.: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bookmarkStart w:id="0" w:name="_Hlk191377757"/>
      <w:r>
        <w:rPr>
          <w:rFonts w:cs="Arial" w:ascii="Arial" w:hAnsi="Arial"/>
          <w:b/>
          <w:bCs/>
          <w:sz w:val="22"/>
          <w:szCs w:val="22"/>
        </w:rPr>
        <w:t>„</w:t>
      </w:r>
      <w:bookmarkEnd w:id="0"/>
      <w:r>
        <w:rPr>
          <w:rFonts w:eastAsia="Times New Roman" w:cs="Arial" w:ascii="Arial" w:hAnsi="Arial"/>
          <w:b/>
          <w:bCs/>
          <w:sz w:val="22"/>
          <w:szCs w:val="22"/>
        </w:rPr>
        <w:t>Digitalizacja sieci ciepłowniczych Modernizacja węzłów cieplnych</w:t>
      </w:r>
    </w:p>
    <w:p>
      <w:pPr>
        <w:pStyle w:val="Normal"/>
        <w:tabs>
          <w:tab w:val="clear" w:pos="708"/>
          <w:tab w:val="right" w:pos="9212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eastAsia="Times New Roman" w:cs="Arial" w:ascii="Arial" w:hAnsi="Arial"/>
          <w:b/>
          <w:bCs/>
          <w:sz w:val="22"/>
          <w:szCs w:val="22"/>
        </w:rPr>
        <w:t xml:space="preserve"> </w:t>
      </w:r>
      <w:r>
        <w:rPr>
          <w:rFonts w:eastAsia="Times New Roman" w:cs="Arial" w:ascii="Arial" w:hAnsi="Arial"/>
          <w:b/>
          <w:bCs/>
          <w:sz w:val="22"/>
          <w:szCs w:val="22"/>
        </w:rPr>
        <w:t xml:space="preserve">Digitalizacja systemu ciepłowniczego ”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1. Oświadczam, że nie podlegam wykluczeniu z postępowania o udzielenie zamówienia  na podstawie art. 7 ust. 1 ustawy o szczególnych rozwiązaniach w zakresie przeciwdziałania wspieraniu agresji na Ukrainę oraz służących ochronie bezpieczeństwa narodowego.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2. Oświadczam, że nie podlegam wykluczeniu z postępowania o udzielenie zamówienia na podstawie pkt 10.1 zapytania ofertowego.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3.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left="708" w:hanging="708"/>
        <w:rPr>
          <w:rFonts w:ascii="Arial" w:hAnsi="Arial" w:cs="Arial"/>
        </w:rPr>
      </w:pPr>
      <w:r>
        <w:rPr>
          <w:rFonts w:cs="Arial" w:ascii="Arial" w:hAnsi="Arial"/>
        </w:rPr>
        <w:t xml:space="preserve">……………………………………………            </w:t>
      </w:r>
      <w:r>
        <w:rPr>
          <w:rFonts w:cs="Arial" w:ascii="Arial" w:hAnsi="Arial"/>
        </w:rPr>
        <w:tab/>
        <w:t xml:space="preserve">                   ….…..……………………….</w:t>
        <w:br/>
        <w:t>( Data, miejscowość )</w:t>
        <w:tab/>
        <w:tab/>
        <w:tab/>
        <w:tab/>
        <w:tab/>
        <w:tab/>
        <w:tab/>
        <w:t>( Podpis 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tLeast" w:line="100"/>
      <w:jc w:val="both"/>
      <w:rPr>
        <w:rFonts w:cs="Calibri" w:cstheme="minorHAnsi"/>
      </w:rPr>
    </w:pPr>
    <w:r>
      <w:rPr>
        <w:rFonts w:eastAsia="Times New Roman" w:cs="Arial" w:ascii="Liberation Serif" w:hAnsi="Liberation Serif"/>
        <w:sz w:val="16"/>
        <w:szCs w:val="16"/>
        <w:lang w:eastAsia="pl-PL"/>
      </w:rPr>
      <w:t xml:space="preserve"> </w:t>
    </w:r>
    <w:r>
      <w:rPr/>
      <w:drawing>
        <wp:inline distT="0" distB="0" distL="0" distR="0">
          <wp:extent cx="5707380" cy="56769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>Program Fundusze Europejskie na Infrastrukturę, Klimat, Środowisko 2021-2027 (FenIKS)</w:t>
    </w:r>
  </w:p>
  <w:p>
    <w:pPr>
      <w:pStyle w:val="Normal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 xml:space="preserve">FENX.02.01 Infrastruktura ciepłownicza Priorytet FENX.02 Wsparcie sektorów energetyka i środowisko z EFRR </w:t>
    </w:r>
  </w:p>
  <w:p>
    <w:pPr>
      <w:pStyle w:val="Gwka"/>
      <w:jc w:val="right"/>
      <w:rPr>
        <w:rFonts w:cs="Calibri" w:cstheme="minorHAnsi"/>
      </w:rPr>
    </w:pPr>
    <w:r>
      <w:rPr>
        <w:rFonts w:cs="Calibri" w:cstheme="minorHAnsi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tLeast" w:line="100"/>
      <w:jc w:val="both"/>
      <w:rPr>
        <w:rFonts w:cs="Calibri" w:cstheme="minorHAnsi"/>
      </w:rPr>
    </w:pPr>
    <w:r>
      <w:rPr>
        <w:rFonts w:eastAsia="Times New Roman" w:cs="Arial" w:ascii="Liberation Serif" w:hAnsi="Liberation Serif"/>
        <w:sz w:val="16"/>
        <w:szCs w:val="16"/>
        <w:lang w:eastAsia="pl-PL"/>
      </w:rPr>
      <w:t xml:space="preserve"> </w:t>
    </w:r>
    <w:r>
      <w:rPr/>
      <w:drawing>
        <wp:inline distT="0" distB="0" distL="0" distR="0">
          <wp:extent cx="5707380" cy="56769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both"/>
      <w:rPr>
        <w:rFonts w:cs="Calibri" w:cstheme="minorHAnsi"/>
      </w:rPr>
    </w:pPr>
    <w:r>
      <w:rPr>
        <w:rFonts w:cs="Calibri" w:cstheme="minorHAnsi"/>
      </w:rPr>
    </w:r>
  </w:p>
  <w:p>
    <w:pPr>
      <w:pStyle w:val="Gwka"/>
      <w:spacing w:lineRule="atLeast" w:line="100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>Program Fundusze Europejskie na Infrastrukturę, Klimat, Środowisko 2021-2027 (FenIKS)</w:t>
    </w:r>
  </w:p>
  <w:p>
    <w:pPr>
      <w:pStyle w:val="Normal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</w:rPr>
      <w:t xml:space="preserve">FENX.02.01 Infrastruktura ciepłownicza Priorytet FENX.02 Wsparcie sektorów energetyka i środowisko z EFRR </w:t>
    </w:r>
  </w:p>
  <w:p>
    <w:pPr>
      <w:pStyle w:val="Gwka"/>
      <w:jc w:val="right"/>
      <w:rPr>
        <w:rFonts w:cs="Calibri" w:cstheme="minorHAnsi"/>
      </w:rPr>
    </w:pPr>
    <w:r>
      <w:rPr>
        <w:rFonts w:cs="Calibri" w:cstheme="minorHAnsi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02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102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1026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22fc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9459e"/>
    <w:rPr/>
  </w:style>
  <w:style w:type="character" w:styleId="StopkaZnak" w:customStyle="1">
    <w:name w:val="Stopka Znak"/>
    <w:basedOn w:val="DefaultParagraphFont"/>
    <w:uiPriority w:val="99"/>
    <w:qFormat/>
    <w:rsid w:val="00a9459e"/>
    <w:rPr/>
  </w:style>
  <w:style w:type="character" w:styleId="Nierozpoznanawzmianka1">
    <w:name w:val="Nierozpoznana wzmianka1"/>
    <w:qFormat/>
    <w:rPr>
      <w:color w:val="605E5C"/>
      <w:shd w:fill="E1DFDD" w:val="clear"/>
    </w:rPr>
  </w:style>
  <w:style w:type="character" w:styleId="PodtytuZnak">
    <w:name w:val="Podtytuł Znak"/>
    <w:qFormat/>
    <w:rPr>
      <w:rFonts w:ascii="Times New Roman" w:hAnsi="Times New Roman" w:eastAsia="Times New Roman" w:cs="Times New Roman"/>
      <w:b/>
      <w:sz w:val="40"/>
      <w:szCs w:val="20"/>
      <w:lang w:eastAsia="pl-PL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ytuZnak">
    <w:name w:val="Tytuł Znak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AkapitzlistZnak">
    <w:name w:val="Akapit z listą Znak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190c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102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026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2f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1152b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MSDsygn" w:customStyle="1">
    <w:name w:val="MSD-sygn."/>
    <w:basedOn w:val="Normal"/>
    <w:qFormat/>
    <w:rsid w:val="002078d0"/>
    <w:pPr>
      <w:widowControl w:val="false"/>
      <w:suppressAutoHyphens w:val="tru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</w:rPr>
  </w:style>
  <w:style w:type="paragraph" w:styleId="CharChar1">
    <w:name w:val="Char Char1"/>
    <w:basedOn w:val="Normal"/>
    <w:qFormat/>
    <w:pPr>
      <w:suppressAutoHyphens w:val="false"/>
      <w:spacing w:lineRule="exact" w:line="240" w:before="0" w:after="0"/>
    </w:pPr>
    <w:rPr>
      <w:rFonts w:ascii="Times New Roman" w:hAnsi="Times New Roman" w:eastAsia="Times New Roman" w:cs="Times New Roman"/>
      <w:lang w:eastAsia="pl-P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 w:cs="Times New Roman"/>
      <w:lang w:eastAsia="pl-PL"/>
    </w:rPr>
  </w:style>
  <w:style w:type="paragraph" w:styleId="ListParagraph">
    <w:name w:val="List Paragraph"/>
    <w:basedOn w:val="Normal"/>
    <w:qFormat/>
    <w:pPr>
      <w:suppressAutoHyphens w:val="false"/>
      <w:spacing w:lineRule="exact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ormalnyWeb1">
    <w:name w:val="Normalny (Web)1"/>
    <w:basedOn w:val="Normal"/>
    <w:qFormat/>
    <w:pPr>
      <w:spacing w:lineRule="atLeast" w:line="100" w:before="100" w:after="100"/>
    </w:pPr>
    <w:rPr>
      <w:rFonts w:ascii="Times New Roman" w:hAnsi="Times New Roman" w:eastAsia="Times New Roman" w:cs="Times New Roman"/>
    </w:rPr>
  </w:style>
  <w:style w:type="paragraph" w:styleId="Akapitzlist1">
    <w:name w:val="Akapit z listą1"/>
    <w:basedOn w:val="Normal"/>
    <w:qFormat/>
    <w:pPr>
      <w:widowControl w:val="false"/>
      <w:spacing w:lineRule="atLeast" w:line="100" w:before="0" w:after="0"/>
      <w:ind w:left="708" w:hanging="0"/>
    </w:pPr>
    <w:rPr>
      <w:rFonts w:ascii="Times New Roman" w:hAnsi="Times New Roman" w:eastAsia="Tahoma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LibreOffice/7.3.2.2$Windows_X86_64 LibreOffice_project/49f2b1bff42cfccbd8f788c8dc32c1c309559be0</Application>
  <AppVersion>15.0000</AppVersion>
  <Pages>1</Pages>
  <Words>179</Words>
  <Characters>1621</Characters>
  <CharactersWithSpaces>1910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Gasiorek</dc:creator>
  <dc:description/>
  <dc:language>pl-PL</dc:language>
  <cp:lastModifiedBy/>
  <dcterms:modified xsi:type="dcterms:W3CDTF">2025-07-04T09:58:10Z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